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B8" w:rsidRPr="006D56B8" w:rsidRDefault="00244E16" w:rsidP="006D56B8">
      <w:pPr>
        <w:spacing w:after="0" w:line="240" w:lineRule="auto"/>
        <w:rPr>
          <w:rFonts w:ascii="Calibri" w:eastAsia="Calibri" w:hAnsi="Calibri" w:cs="Times New Roman"/>
          <w:color w:val="FFFFFF" w:themeColor="background1"/>
          <w:u w:val="single"/>
        </w:rPr>
      </w:pPr>
      <w:bookmarkStart w:id="0" w:name="_GoBack"/>
      <w:bookmarkEnd w:id="0"/>
      <w:r>
        <w:rPr>
          <w:rFonts w:cs="Arial"/>
          <w:noProof/>
          <w:color w:val="000080"/>
          <w:sz w:val="20"/>
          <w:szCs w:val="20"/>
        </w:rPr>
        <w:drawing>
          <wp:inline distT="0" distB="0" distL="0" distR="0" wp14:anchorId="2DCA55D9" wp14:editId="464C310F">
            <wp:extent cx="1190625" cy="381635"/>
            <wp:effectExtent l="0" t="0" r="9525" b="0"/>
            <wp:docPr id="2" name="Picture 2" descr="cid:image002.jpg@01CC03EE.C7E9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03EE.C7E958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0625" cy="381635"/>
                    </a:xfrm>
                    <a:prstGeom prst="rect">
                      <a:avLst/>
                    </a:prstGeom>
                    <a:noFill/>
                    <a:ln>
                      <a:noFill/>
                    </a:ln>
                  </pic:spPr>
                </pic:pic>
              </a:graphicData>
            </a:graphic>
          </wp:inline>
        </w:drawing>
      </w:r>
      <w:r w:rsidR="006D56B8" w:rsidRPr="006D56B8">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5CA46EF" wp14:editId="0C0FF753">
                <wp:simplePos x="0" y="0"/>
                <wp:positionH relativeFrom="column">
                  <wp:posOffset>2080260</wp:posOffset>
                </wp:positionH>
                <wp:positionV relativeFrom="paragraph">
                  <wp:posOffset>0</wp:posOffset>
                </wp:positionV>
                <wp:extent cx="3794760" cy="274320"/>
                <wp:effectExtent l="0" t="0" r="15240" b="11430"/>
                <wp:wrapNone/>
                <wp:docPr id="1" name="Text Box 2"/>
                <wp:cNvGraphicFramePr/>
                <a:graphic xmlns:a="http://schemas.openxmlformats.org/drawingml/2006/main">
                  <a:graphicData uri="http://schemas.microsoft.com/office/word/2010/wordprocessingShape">
                    <wps:wsp>
                      <wps:cNvSpPr txBox="1"/>
                      <wps:spPr>
                        <a:xfrm>
                          <a:off x="0" y="0"/>
                          <a:ext cx="3794760" cy="274320"/>
                        </a:xfrm>
                        <a:prstGeom prst="rect">
                          <a:avLst/>
                        </a:prstGeom>
                        <a:solidFill>
                          <a:sysClr val="window" lastClr="FFFFFF"/>
                        </a:solidFill>
                        <a:ln w="6350">
                          <a:solidFill>
                            <a:prstClr val="black"/>
                          </a:solidFill>
                        </a:ln>
                        <a:effectLst/>
                      </wps:spPr>
                      <wps:txbx>
                        <w:txbxContent>
                          <w:p w:rsidR="006D56B8" w:rsidRDefault="006D56B8" w:rsidP="006D56B8">
                            <w:r>
                              <w:rPr>
                                <w:b/>
                              </w:rPr>
                              <w:t>Ocean Container Clause</w:t>
                            </w:r>
                            <w:r w:rsidR="00244E16">
                              <w:rPr>
                                <w:b/>
                              </w:rPr>
                              <w:t xml:space="preserve"> &amp; ISF Filing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pt;margin-top:0;width:29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" fillcolor="window" strokeweight=".5pt">
                <v:textbox>
                  <w:txbxContent>
                    <w:p w:rsidR="006D56B8" w:rsidRDefault="006D56B8" w:rsidP="006D56B8">
                      <w:r>
                        <w:rPr>
                          <w:b/>
                        </w:rPr>
                        <w:t>Ocean Container Clause</w:t>
                      </w:r>
                      <w:r w:rsidR="00244E16">
                        <w:rPr>
                          <w:b/>
                        </w:rPr>
                        <w:t xml:space="preserve"> &amp; ISF Filing Instructions</w:t>
                      </w:r>
                    </w:p>
                  </w:txbxContent>
                </v:textbox>
              </v:shape>
            </w:pict>
          </mc:Fallback>
        </mc:AlternateContent>
      </w:r>
      <w:r w:rsidR="006D56B8" w:rsidRPr="006D56B8">
        <w:rPr>
          <w:rFonts w:ascii="Calibri" w:eastAsia="Calibri" w:hAnsi="Calibri" w:cs="Times New Roman"/>
        </w:rPr>
        <w:tab/>
      </w:r>
      <w:r w:rsidR="006D56B8" w:rsidRPr="006D56B8">
        <w:rPr>
          <w:rFonts w:ascii="Calibri" w:eastAsia="Calibri" w:hAnsi="Calibri" w:cs="Times New Roman"/>
        </w:rPr>
        <w:tab/>
      </w:r>
      <w:r w:rsidR="006D56B8" w:rsidRPr="006D56B8">
        <w:rPr>
          <w:rFonts w:ascii="Calibri" w:eastAsia="Calibri" w:hAnsi="Calibri" w:cs="Times New Roman"/>
          <w:b/>
          <w:color w:val="FFFFFF" w:themeColor="background1"/>
          <w:highlight w:val="black"/>
        </w:rPr>
        <w:t xml:space="preserve">                                                                           </w:t>
      </w:r>
      <w:r w:rsidR="006D56B8" w:rsidRPr="006D56B8">
        <w:rPr>
          <w:rFonts w:ascii="Calibri" w:eastAsia="Calibri" w:hAnsi="Calibri" w:cs="Times New Roman"/>
          <w:b/>
          <w:color w:val="FFFFFF" w:themeColor="background1"/>
        </w:rPr>
        <w:t xml:space="preserve">                         </w:t>
      </w:r>
    </w:p>
    <w:p w:rsidR="00F9260A" w:rsidRDefault="00F9260A"/>
    <w:p w:rsidR="00244E16" w:rsidRDefault="00244E16" w:rsidP="00A827B4">
      <w:r>
        <w:t xml:space="preserve">If seller will be shipping goods by ocean transport destined to arrive within the limits of a port in the United States by vessel, Seller shall 1. Complete </w:t>
      </w:r>
      <w:r w:rsidR="001503CE">
        <w:t xml:space="preserve">commercial </w:t>
      </w:r>
      <w:r>
        <w:t xml:space="preserve">invoices in compliance with Amsted instructions as outlined in </w:t>
      </w:r>
      <w:r w:rsidRPr="00A827B4">
        <w:rPr>
          <w:u w:val="single"/>
        </w:rPr>
        <w:t xml:space="preserve">Commercial Invoice Requirements for Import into the United States </w:t>
      </w:r>
      <w:r>
        <w:t xml:space="preserve">2. Use the approved Buyer contracted forwarders, unless otherwise authorized in the contract or as directed in writing by Buyer’s Authorized Procurement Representative, and 3. Provide Commercial invoices and ISF Filing instructions to Amsted’s ISF service provider, </w:t>
      </w:r>
      <w:proofErr w:type="spellStart"/>
      <w:r w:rsidR="001A1BBE">
        <w:t>Kuehne</w:t>
      </w:r>
      <w:proofErr w:type="spellEnd"/>
      <w:r w:rsidR="001A1BBE">
        <w:t>-Nagel</w:t>
      </w:r>
      <w:r>
        <w:t xml:space="preserve">, at time of booking, but no later than 72 hours prior to the goods being loaded at a non-US port aboard a vessel destined for the United States. </w:t>
      </w:r>
    </w:p>
    <w:p w:rsidR="0090417A" w:rsidRDefault="0090417A">
      <w:r>
        <w:t xml:space="preserve">ISF process is managed </w:t>
      </w:r>
      <w:r w:rsidR="00C140D4">
        <w:t xml:space="preserve">by </w:t>
      </w:r>
      <w:proofErr w:type="spellStart"/>
      <w:r w:rsidR="001A1BBE">
        <w:t>Kuehne</w:t>
      </w:r>
      <w:proofErr w:type="spellEnd"/>
      <w:r w:rsidR="001A1BBE">
        <w:t xml:space="preserve"> Nagel at a central location for all shipments, globally.  </w:t>
      </w:r>
      <w:r w:rsidR="001503CE">
        <w:t>T</w:t>
      </w:r>
      <w:r>
        <w:t xml:space="preserve">he supplier </w:t>
      </w:r>
      <w:r w:rsidR="004E5672">
        <w:t xml:space="preserve">must </w:t>
      </w:r>
      <w:r>
        <w:t>complete the</w:t>
      </w:r>
      <w:r w:rsidR="001A1BBE">
        <w:t xml:space="preserve"> </w:t>
      </w:r>
      <w:proofErr w:type="spellStart"/>
      <w:r w:rsidR="001A1BBE">
        <w:t>Kuehne</w:t>
      </w:r>
      <w:proofErr w:type="spellEnd"/>
      <w:r w:rsidR="001A1BBE">
        <w:t xml:space="preserve"> Nagel</w:t>
      </w:r>
      <w:r>
        <w:t xml:space="preserve"> filing data sheet and return it by e</w:t>
      </w:r>
      <w:r w:rsidR="001503CE">
        <w:t>-</w:t>
      </w:r>
      <w:r w:rsidR="001A1BBE">
        <w:t>mail to</w:t>
      </w:r>
      <w:r w:rsidR="001A1BBE" w:rsidRPr="001A1BBE">
        <w:t xml:space="preserve"> </w:t>
      </w:r>
      <w:proofErr w:type="spellStart"/>
      <w:r w:rsidR="001A1BBE" w:rsidRPr="001A1BBE">
        <w:t>Kuehne</w:t>
      </w:r>
      <w:proofErr w:type="spellEnd"/>
      <w:r w:rsidR="001A1BBE">
        <w:t>-</w:t>
      </w:r>
      <w:r w:rsidR="001A1BBE" w:rsidRPr="001A1BBE">
        <w:t xml:space="preserve"> Nagel</w:t>
      </w:r>
      <w:r w:rsidR="001A1BBE">
        <w:t xml:space="preserve"> at </w:t>
      </w:r>
      <w:hyperlink r:id="rId11" w:history="1">
        <w:r w:rsidR="001A1BBE">
          <w:rPr>
            <w:rStyle w:val="Hyperlink"/>
          </w:rPr>
          <w:t>ISF@kuehne-nagel.com</w:t>
        </w:r>
      </w:hyperlink>
      <w:r w:rsidR="001A1BBE">
        <w:t>.  Subject Line to Read -</w:t>
      </w:r>
      <w:r>
        <w:t xml:space="preserve"> ISF, AMSTED RAIL ,HBL#(   ),Est. date of Departure (date) </w:t>
      </w:r>
      <w:r w:rsidR="001503CE">
        <w:t>T</w:t>
      </w:r>
      <w:r>
        <w:t xml:space="preserve">he ISF </w:t>
      </w:r>
      <w:r w:rsidR="001503CE">
        <w:t xml:space="preserve">must </w:t>
      </w:r>
      <w:r>
        <w:t xml:space="preserve">be filed no later than </w:t>
      </w:r>
      <w:r w:rsidRPr="001503CE">
        <w:rPr>
          <w:u w:val="single"/>
        </w:rPr>
        <w:t xml:space="preserve">72 hours prior </w:t>
      </w:r>
      <w:r>
        <w:t>to the container being l</w:t>
      </w:r>
      <w:r w:rsidR="001503CE">
        <w:t xml:space="preserve">oaded </w:t>
      </w:r>
      <w:r>
        <w:t xml:space="preserve">aboard the vessel in the foreign port in order to allow </w:t>
      </w:r>
      <w:proofErr w:type="spellStart"/>
      <w:r w:rsidR="001A1BBE">
        <w:t>Kuehne</w:t>
      </w:r>
      <w:proofErr w:type="spellEnd"/>
      <w:r w:rsidR="001A1BBE">
        <w:t xml:space="preserve"> Nagel </w:t>
      </w:r>
      <w:r>
        <w:t>enough time to insure the ISF is filed timely.</w:t>
      </w:r>
    </w:p>
    <w:p w:rsidR="0090417A" w:rsidRDefault="0090417A" w:rsidP="0090417A">
      <w:pPr>
        <w:pStyle w:val="PlainText"/>
      </w:pPr>
      <w:r w:rsidRPr="001503CE">
        <w:rPr>
          <w:b/>
        </w:rPr>
        <w:t>An ISF is not required for bulk cargo</w:t>
      </w:r>
      <w:r w:rsidR="001D236B">
        <w:rPr>
          <w:b/>
        </w:rPr>
        <w:t>.  An ISF</w:t>
      </w:r>
      <w:r>
        <w:rPr>
          <w:b/>
          <w:bCs/>
        </w:rPr>
        <w:t xml:space="preserve"> </w:t>
      </w:r>
      <w:r w:rsidRPr="00A827B4">
        <w:rPr>
          <w:b/>
          <w:bCs/>
          <w:u w:val="single"/>
        </w:rPr>
        <w:t>is</w:t>
      </w:r>
      <w:r>
        <w:t xml:space="preserve"> </w:t>
      </w:r>
      <w:r w:rsidRPr="001503CE">
        <w:rPr>
          <w:b/>
        </w:rPr>
        <w:t>required for</w:t>
      </w:r>
      <w:r>
        <w:t xml:space="preserve"> </w:t>
      </w:r>
      <w:r>
        <w:rPr>
          <w:b/>
          <w:bCs/>
        </w:rPr>
        <w:t>break -bulk shipments</w:t>
      </w:r>
      <w:r>
        <w:t xml:space="preserve">. </w:t>
      </w:r>
    </w:p>
    <w:p w:rsidR="001503CE" w:rsidRDefault="001503CE" w:rsidP="0090417A">
      <w:pPr>
        <w:pStyle w:val="PlainText"/>
      </w:pPr>
    </w:p>
    <w:p w:rsidR="0090417A" w:rsidRDefault="001D236B" w:rsidP="0090417A">
      <w:pPr>
        <w:pStyle w:val="PlainText"/>
      </w:pPr>
      <w:r>
        <w:rPr>
          <w:b/>
        </w:rPr>
        <w:t>B</w:t>
      </w:r>
      <w:r w:rsidR="0090417A" w:rsidRPr="001D236B">
        <w:rPr>
          <w:b/>
        </w:rPr>
        <w:t>ulk cargo</w:t>
      </w:r>
      <w:r>
        <w:rPr>
          <w:b/>
        </w:rPr>
        <w:t xml:space="preserve"> </w:t>
      </w:r>
      <w:r w:rsidRPr="001D236B">
        <w:t>is defined as</w:t>
      </w:r>
      <w:r w:rsidR="0090417A">
        <w:t>:</w:t>
      </w:r>
    </w:p>
    <w:p w:rsidR="0090417A" w:rsidRDefault="0090417A" w:rsidP="0090417A">
      <w:pPr>
        <w:pStyle w:val="PlainText"/>
      </w:pPr>
      <w:r>
        <w:t xml:space="preserve">“Homogenous cargo that is stowed loose in the hold and is not enclosed in any   container such as a box, bale, bag, cask, or the like.  Specifically, bulk cargo is composed of either: (A) free flowing articles such as oil, grain, coal, ore, and the like which can be pumped or run through a chute or handled by dumping; or (B) uniform cargo that stows as solidly as bulk cargo and requires mechanical handling for lading and discharging.”  </w:t>
      </w:r>
    </w:p>
    <w:p w:rsidR="001503CE" w:rsidRDefault="001503CE" w:rsidP="0090417A">
      <w:pPr>
        <w:pStyle w:val="PlainText"/>
      </w:pPr>
    </w:p>
    <w:p w:rsidR="001503CE" w:rsidRDefault="001503CE" w:rsidP="001503CE">
      <w:pPr>
        <w:pStyle w:val="PlainText"/>
      </w:pPr>
      <w:r w:rsidRPr="001503CE">
        <w:rPr>
          <w:b/>
        </w:rPr>
        <w:t>Break bulk cargo</w:t>
      </w:r>
      <w:r>
        <w:t xml:space="preserve"> is defined as cargo that is not containerized, but which is otherwise packaged or bundled. </w:t>
      </w:r>
      <w:r w:rsidRPr="001503CE">
        <w:rPr>
          <w:bCs/>
        </w:rPr>
        <w:t>Break-bulk shipments</w:t>
      </w:r>
      <w:r>
        <w:t xml:space="preserve"> are exempt from the requirement that the complete ISF be filed 24 hours before the container is being laden aboard the foreign port. (since no container is being laden), however ISF for break bulk shipments must still be filed </w:t>
      </w:r>
      <w:r>
        <w:rPr>
          <w:b/>
          <w:bCs/>
          <w:u w:val="single"/>
        </w:rPr>
        <w:t>no later than 24 hours prior to arrival in the US</w:t>
      </w:r>
      <w:r>
        <w:rPr>
          <w:b/>
          <w:bCs/>
        </w:rPr>
        <w:t>.</w:t>
      </w:r>
      <w:r>
        <w:t xml:space="preserve">  </w:t>
      </w:r>
    </w:p>
    <w:p w:rsidR="0090417A" w:rsidRDefault="0090417A" w:rsidP="0090417A">
      <w:pPr>
        <w:pStyle w:val="PlainText"/>
      </w:pPr>
    </w:p>
    <w:p w:rsidR="0090417A" w:rsidRPr="001503CE" w:rsidRDefault="0090417A" w:rsidP="0090417A">
      <w:pPr>
        <w:pStyle w:val="PlainText"/>
        <w:rPr>
          <w:b/>
        </w:rPr>
      </w:pPr>
      <w:r>
        <w:t xml:space="preserve">Customs and Border Protection (CBP), Cargo &amp; Conveyance Security (CCS), has determined that the following list of commodities and commodity types can be classified as bulk cargo.  </w:t>
      </w:r>
      <w:r w:rsidRPr="00A827B4">
        <w:rPr>
          <w:b/>
        </w:rPr>
        <w:t>To be classified as bulk</w:t>
      </w:r>
      <w:r>
        <w:t xml:space="preserve">, </w:t>
      </w:r>
      <w:r>
        <w:rPr>
          <w:b/>
          <w:bCs/>
          <w:u w:val="single"/>
        </w:rPr>
        <w:t>this cargo may not be containerized</w:t>
      </w:r>
      <w:r>
        <w:t xml:space="preserve"> and must be easily identifiable as laden on the vessel.  Any bundling of the following commodities must</w:t>
      </w:r>
      <w:r>
        <w:rPr>
          <w:u w:val="single"/>
        </w:rPr>
        <w:t xml:space="preserve"> only </w:t>
      </w:r>
      <w:r>
        <w:t>be for the purposes of securing the cargo</w:t>
      </w:r>
      <w:r w:rsidRPr="001503CE">
        <w:rPr>
          <w:b/>
        </w:rPr>
        <w:t>.    </w:t>
      </w:r>
      <w:r w:rsidRPr="001503CE">
        <w:rPr>
          <w:b/>
          <w:u w:val="single"/>
        </w:rPr>
        <w:t>If otherwise packaged or bundled, it is considered break bulk cargo, and requires the ISF.</w:t>
      </w:r>
      <w:r w:rsidRPr="001503CE">
        <w:rPr>
          <w:b/>
        </w:rPr>
        <w:t xml:space="preserve"> </w:t>
      </w:r>
    </w:p>
    <w:p w:rsidR="0090417A" w:rsidRDefault="0090417A" w:rsidP="0090417A">
      <w:pPr>
        <w:pStyle w:val="PlainText"/>
      </w:pPr>
    </w:p>
    <w:p w:rsidR="0090417A" w:rsidRDefault="0090417A" w:rsidP="0090417A">
      <w:pPr>
        <w:pStyle w:val="PlainText"/>
      </w:pPr>
      <w:r>
        <w:t>•             Coils of steel and other metals</w:t>
      </w:r>
    </w:p>
    <w:p w:rsidR="0090417A" w:rsidRDefault="0090417A" w:rsidP="0090417A">
      <w:pPr>
        <w:pStyle w:val="PlainText"/>
      </w:pPr>
      <w:r>
        <w:t>•             Rails of steel and other metals</w:t>
      </w:r>
    </w:p>
    <w:p w:rsidR="0090417A" w:rsidRDefault="0090417A" w:rsidP="0090417A">
      <w:pPr>
        <w:pStyle w:val="PlainText"/>
      </w:pPr>
      <w:r>
        <w:t>•             Wire rods of steel and other metals (may be coiled or flat)</w:t>
      </w:r>
    </w:p>
    <w:p w:rsidR="0090417A" w:rsidRDefault="0090417A" w:rsidP="0090417A">
      <w:pPr>
        <w:pStyle w:val="PlainText"/>
      </w:pPr>
      <w:r>
        <w:t>•             Ingots of metal (precious or otherwise)</w:t>
      </w:r>
    </w:p>
    <w:p w:rsidR="0090417A" w:rsidRDefault="0090417A" w:rsidP="0090417A">
      <w:pPr>
        <w:pStyle w:val="PlainText"/>
      </w:pPr>
      <w:r>
        <w:t>•             Round bars of steel or other metal</w:t>
      </w:r>
    </w:p>
    <w:p w:rsidR="0090417A" w:rsidRDefault="0090417A" w:rsidP="0090417A">
      <w:pPr>
        <w:pStyle w:val="PlainText"/>
      </w:pPr>
      <w:r>
        <w:t>•             Deformed Bars/</w:t>
      </w:r>
      <w:proofErr w:type="spellStart"/>
      <w:r>
        <w:t>Rebars</w:t>
      </w:r>
      <w:proofErr w:type="spellEnd"/>
      <w:r>
        <w:t xml:space="preserve"> (of metal)</w:t>
      </w:r>
    </w:p>
    <w:p w:rsidR="0090417A" w:rsidRDefault="0090417A" w:rsidP="0090417A">
      <w:pPr>
        <w:pStyle w:val="PlainText"/>
      </w:pPr>
      <w:r>
        <w:lastRenderedPageBreak/>
        <w:t>•             Plates (of metal)</w:t>
      </w:r>
    </w:p>
    <w:p w:rsidR="0090417A" w:rsidRDefault="0090417A" w:rsidP="0090417A">
      <w:pPr>
        <w:pStyle w:val="PlainText"/>
      </w:pPr>
      <w:r>
        <w:t>•             Billets (of metal)</w:t>
      </w:r>
    </w:p>
    <w:p w:rsidR="0090417A" w:rsidRDefault="0090417A" w:rsidP="0090417A">
      <w:pPr>
        <w:pStyle w:val="PlainText"/>
      </w:pPr>
      <w:r>
        <w:t>•             Slabs (of metal)</w:t>
      </w:r>
    </w:p>
    <w:p w:rsidR="0090417A" w:rsidRDefault="0090417A" w:rsidP="0090417A">
      <w:pPr>
        <w:pStyle w:val="PlainText"/>
      </w:pPr>
      <w:r>
        <w:t>•             Pipes (of metal)</w:t>
      </w:r>
    </w:p>
    <w:p w:rsidR="0090417A" w:rsidRDefault="0090417A" w:rsidP="0090417A">
      <w:pPr>
        <w:pStyle w:val="PlainText"/>
      </w:pPr>
      <w:r>
        <w:t>•             Beams (of metal)</w:t>
      </w:r>
    </w:p>
    <w:p w:rsidR="0090417A" w:rsidRDefault="0090417A" w:rsidP="0090417A">
      <w:pPr>
        <w:pStyle w:val="PlainText"/>
      </w:pPr>
      <w:r>
        <w:t>•             Tubes/Tubing (of metal)</w:t>
      </w:r>
    </w:p>
    <w:p w:rsidR="0090417A" w:rsidRDefault="0090417A" w:rsidP="0090417A">
      <w:pPr>
        <w:pStyle w:val="PlainText"/>
      </w:pPr>
      <w:r>
        <w:t>•             Angles, shapes and sections (of metal)</w:t>
      </w:r>
    </w:p>
    <w:p w:rsidR="0090417A" w:rsidRDefault="0090417A" w:rsidP="0090417A">
      <w:pPr>
        <w:pStyle w:val="PlainText"/>
      </w:pPr>
      <w:r>
        <w:t>•             Sheets (of metal)</w:t>
      </w:r>
    </w:p>
    <w:p w:rsidR="0090417A" w:rsidRDefault="0090417A" w:rsidP="0090417A">
      <w:pPr>
        <w:pStyle w:val="PlainText"/>
      </w:pPr>
      <w:r>
        <w:t>•             Expanded metal</w:t>
      </w:r>
    </w:p>
    <w:p w:rsidR="0090417A" w:rsidRDefault="0090417A" w:rsidP="0090417A">
      <w:pPr>
        <w:pStyle w:val="PlainText"/>
      </w:pPr>
      <w:r>
        <w:t>•             Flat bars (of metal)</w:t>
      </w:r>
    </w:p>
    <w:p w:rsidR="0090417A" w:rsidRDefault="0090417A" w:rsidP="0090417A">
      <w:pPr>
        <w:pStyle w:val="PlainText"/>
      </w:pPr>
      <w:r>
        <w:t>•             Strand wire (of metal)</w:t>
      </w:r>
    </w:p>
    <w:p w:rsidR="0090417A" w:rsidRDefault="0090417A" w:rsidP="0090417A">
      <w:pPr>
        <w:pStyle w:val="PlainText"/>
      </w:pPr>
      <w:r>
        <w:t>•             Blooms (similar to “billets and of metal)</w:t>
      </w:r>
    </w:p>
    <w:p w:rsidR="0090417A" w:rsidRDefault="0090417A" w:rsidP="0090417A">
      <w:pPr>
        <w:pStyle w:val="PlainText"/>
      </w:pPr>
      <w:r>
        <w:t>•             Anodes/Cathodes, in sheets only (may be corrugated)</w:t>
      </w:r>
    </w:p>
    <w:p w:rsidR="0090417A" w:rsidRDefault="0090417A" w:rsidP="0090417A">
      <w:pPr>
        <w:pStyle w:val="PlainText"/>
      </w:pPr>
    </w:p>
    <w:tbl>
      <w:tblPr>
        <w:tblStyle w:val="LightGrid"/>
        <w:tblW w:w="9578" w:type="dxa"/>
        <w:tblLook w:val="04A0" w:firstRow="1" w:lastRow="0" w:firstColumn="1" w:lastColumn="0" w:noHBand="0" w:noVBand="1"/>
      </w:tblPr>
      <w:tblGrid>
        <w:gridCol w:w="3796"/>
        <w:gridCol w:w="1542"/>
        <w:gridCol w:w="1818"/>
        <w:gridCol w:w="1113"/>
        <w:gridCol w:w="1309"/>
      </w:tblGrid>
      <w:tr w:rsidR="00DB20D7" w:rsidTr="00DB2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Default="001A57DD" w:rsidP="0061512C"/>
          <w:p w:rsidR="001A57DD" w:rsidRDefault="001A57DD" w:rsidP="0061512C">
            <w:r>
              <w:t>10 ISF Data Elements</w:t>
            </w:r>
          </w:p>
        </w:tc>
        <w:tc>
          <w:tcPr>
            <w:tcW w:w="1549" w:type="dxa"/>
          </w:tcPr>
          <w:p w:rsidR="001A57DD" w:rsidRDefault="001A57DD" w:rsidP="0061512C">
            <w:pPr>
              <w:cnfStyle w:val="100000000000" w:firstRow="1" w:lastRow="0" w:firstColumn="0" w:lastColumn="0" w:oddVBand="0" w:evenVBand="0" w:oddHBand="0" w:evenHBand="0" w:firstRowFirstColumn="0" w:firstRowLastColumn="0" w:lastRowFirstColumn="0" w:lastRowLastColumn="0"/>
            </w:pPr>
            <w:r>
              <w:t>Required on Commercial Invoice</w:t>
            </w:r>
          </w:p>
        </w:tc>
        <w:tc>
          <w:tcPr>
            <w:tcW w:w="1843" w:type="dxa"/>
          </w:tcPr>
          <w:p w:rsidR="001A57DD" w:rsidRDefault="001A57DD" w:rsidP="0061512C">
            <w:pPr>
              <w:cnfStyle w:val="100000000000" w:firstRow="1" w:lastRow="0" w:firstColumn="0" w:lastColumn="0" w:oddVBand="0" w:evenVBand="0" w:oddHBand="0" w:evenHBand="0" w:firstRowFirstColumn="0" w:firstRowLastColumn="0" w:lastRowFirstColumn="0" w:lastRowLastColumn="0"/>
            </w:pPr>
            <w:r>
              <w:t>Show on Commercial Invoice if Known</w:t>
            </w:r>
          </w:p>
        </w:tc>
        <w:tc>
          <w:tcPr>
            <w:tcW w:w="1108" w:type="dxa"/>
          </w:tcPr>
          <w:p w:rsidR="001A57DD" w:rsidRDefault="001A57DD" w:rsidP="0061512C">
            <w:pPr>
              <w:cnfStyle w:val="100000000000" w:firstRow="1" w:lastRow="0" w:firstColumn="0" w:lastColumn="0" w:oddVBand="0" w:evenVBand="0" w:oddHBand="0" w:evenHBand="0" w:firstRowFirstColumn="0" w:firstRowLastColumn="0" w:lastRowFirstColumn="0" w:lastRowLastColumn="0"/>
            </w:pPr>
            <w:r>
              <w:t xml:space="preserve">Buyer </w:t>
            </w:r>
          </w:p>
          <w:p w:rsidR="001A57DD" w:rsidRDefault="001A57DD" w:rsidP="0061512C">
            <w:pPr>
              <w:cnfStyle w:val="100000000000" w:firstRow="1" w:lastRow="0" w:firstColumn="0" w:lastColumn="0" w:oddVBand="0" w:evenVBand="0" w:oddHBand="0" w:evenHBand="0" w:firstRowFirstColumn="0" w:firstRowLastColumn="0" w:lastRowFirstColumn="0" w:lastRowLastColumn="0"/>
            </w:pPr>
            <w:r>
              <w:t>Provides</w:t>
            </w:r>
          </w:p>
        </w:tc>
        <w:tc>
          <w:tcPr>
            <w:tcW w:w="1190" w:type="dxa"/>
          </w:tcPr>
          <w:p w:rsidR="001A57DD" w:rsidRDefault="001A57DD" w:rsidP="0061512C">
            <w:pPr>
              <w:cnfStyle w:val="100000000000" w:firstRow="1" w:lastRow="0" w:firstColumn="0" w:lastColumn="0" w:oddVBand="0" w:evenVBand="0" w:oddHBand="0" w:evenHBand="0" w:firstRowFirstColumn="0" w:firstRowLastColumn="0" w:lastRowFirstColumn="0" w:lastRowLastColumn="0"/>
            </w:pPr>
            <w:r>
              <w:t>Forwarder Provides</w:t>
            </w:r>
          </w:p>
        </w:tc>
      </w:tr>
      <w:tr w:rsidR="00DB20D7"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474DCF" w:rsidRDefault="001A57DD" w:rsidP="00474DCF">
            <w:pPr>
              <w:pStyle w:val="ListParagraph"/>
              <w:numPr>
                <w:ilvl w:val="0"/>
                <w:numId w:val="5"/>
              </w:numPr>
            </w:pPr>
            <w:r w:rsidRPr="00474DCF">
              <w:t>Seller (or owner ) name and address</w:t>
            </w:r>
          </w:p>
        </w:tc>
        <w:tc>
          <w:tcPr>
            <w:tcW w:w="1549" w:type="dxa"/>
          </w:tcPr>
          <w:p w:rsidR="001A57DD" w:rsidRPr="00474DCF" w:rsidRDefault="001A57DD" w:rsidP="001A57DD">
            <w:pPr>
              <w:jc w:val="center"/>
              <w:cnfStyle w:val="000000100000" w:firstRow="0" w:lastRow="0" w:firstColumn="0" w:lastColumn="0" w:oddVBand="0" w:evenVBand="0" w:oddHBand="1" w:evenHBand="0" w:firstRowFirstColumn="0" w:firstRowLastColumn="0" w:lastRowFirstColumn="0" w:lastRowLastColumn="0"/>
            </w:pPr>
            <w:r w:rsidRPr="00474DCF">
              <w:t>X</w:t>
            </w:r>
          </w:p>
        </w:tc>
        <w:tc>
          <w:tcPr>
            <w:tcW w:w="1843"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08"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90"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r>
      <w:tr w:rsidR="00217A76" w:rsidTr="00DB2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1A57DD" w:rsidRDefault="001A57DD" w:rsidP="001A57DD">
            <w:pPr>
              <w:pStyle w:val="ListParagraph"/>
              <w:numPr>
                <w:ilvl w:val="0"/>
                <w:numId w:val="4"/>
              </w:numPr>
            </w:pPr>
            <w:r w:rsidRPr="001A57DD">
              <w:t>Buyer (or owner</w:t>
            </w:r>
            <w:r w:rsidR="00217A76">
              <w:t>)</w:t>
            </w:r>
            <w:r w:rsidRPr="001A57DD">
              <w:t xml:space="preserve"> name and address</w:t>
            </w:r>
          </w:p>
        </w:tc>
        <w:tc>
          <w:tcPr>
            <w:tcW w:w="1549" w:type="dxa"/>
          </w:tcPr>
          <w:p w:rsidR="001A57DD" w:rsidRDefault="00474DCF" w:rsidP="00474DCF">
            <w:pPr>
              <w:pStyle w:val="ListParagraph"/>
              <w:ind w:left="360"/>
              <w:cnfStyle w:val="000000010000" w:firstRow="0" w:lastRow="0" w:firstColumn="0" w:lastColumn="0" w:oddVBand="0" w:evenVBand="0" w:oddHBand="0" w:evenHBand="1" w:firstRowFirstColumn="0" w:firstRowLastColumn="0" w:lastRowFirstColumn="0" w:lastRowLastColumn="0"/>
            </w:pPr>
            <w:r>
              <w:t xml:space="preserve">    </w:t>
            </w:r>
            <w:r w:rsidR="001A57DD">
              <w:t>X</w:t>
            </w:r>
          </w:p>
        </w:tc>
        <w:tc>
          <w:tcPr>
            <w:tcW w:w="1843"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108"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190"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r>
      <w:tr w:rsidR="00DB20D7"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474DCF" w:rsidRDefault="00474DCF" w:rsidP="00474DCF">
            <w:pPr>
              <w:pStyle w:val="ListParagraph"/>
              <w:numPr>
                <w:ilvl w:val="0"/>
                <w:numId w:val="4"/>
              </w:numPr>
            </w:pPr>
            <w:r w:rsidRPr="00DB20D7">
              <w:t>Importer of Record Number</w:t>
            </w:r>
          </w:p>
        </w:tc>
        <w:tc>
          <w:tcPr>
            <w:tcW w:w="1549"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843"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08" w:type="dxa"/>
          </w:tcPr>
          <w:p w:rsidR="001A57DD"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c>
          <w:tcPr>
            <w:tcW w:w="1190"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r>
      <w:tr w:rsidR="00217A76" w:rsidTr="00DB2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474DCF" w:rsidRDefault="00DB20D7" w:rsidP="00474DCF">
            <w:pPr>
              <w:pStyle w:val="ListParagraph"/>
              <w:numPr>
                <w:ilvl w:val="0"/>
                <w:numId w:val="4"/>
              </w:numPr>
            </w:pPr>
            <w:r>
              <w:t>Consignee number(s)</w:t>
            </w:r>
          </w:p>
        </w:tc>
        <w:tc>
          <w:tcPr>
            <w:tcW w:w="1549"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843"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108" w:type="dxa"/>
          </w:tcPr>
          <w:p w:rsidR="001A57DD"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c>
          <w:tcPr>
            <w:tcW w:w="1190"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r>
      <w:tr w:rsidR="00DB20D7"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DB20D7" w:rsidRDefault="00DB20D7" w:rsidP="00DB20D7">
            <w:pPr>
              <w:pStyle w:val="ListParagraph"/>
              <w:numPr>
                <w:ilvl w:val="0"/>
                <w:numId w:val="4"/>
              </w:numPr>
            </w:pPr>
            <w:r>
              <w:t>Manufacturer name and address</w:t>
            </w:r>
          </w:p>
        </w:tc>
        <w:tc>
          <w:tcPr>
            <w:tcW w:w="1549" w:type="dxa"/>
          </w:tcPr>
          <w:p w:rsidR="001A57DD"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c>
          <w:tcPr>
            <w:tcW w:w="1843"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08"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90"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r>
      <w:tr w:rsidR="00217A76" w:rsidTr="00DB2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DB20D7" w:rsidRDefault="00DB20D7" w:rsidP="00DB20D7">
            <w:pPr>
              <w:pStyle w:val="ListParagraph"/>
              <w:numPr>
                <w:ilvl w:val="0"/>
                <w:numId w:val="4"/>
              </w:numPr>
            </w:pPr>
            <w:r>
              <w:t>Ship to party name and address</w:t>
            </w:r>
          </w:p>
        </w:tc>
        <w:tc>
          <w:tcPr>
            <w:tcW w:w="1549" w:type="dxa"/>
          </w:tcPr>
          <w:p w:rsidR="001A57DD"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c>
          <w:tcPr>
            <w:tcW w:w="1843"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108"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190"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r>
      <w:tr w:rsidR="00DB20D7"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DB20D7" w:rsidRDefault="00DB20D7" w:rsidP="00DB20D7">
            <w:pPr>
              <w:pStyle w:val="ListParagraph"/>
              <w:numPr>
                <w:ilvl w:val="0"/>
                <w:numId w:val="4"/>
              </w:numPr>
            </w:pPr>
            <w:r>
              <w:t>Country of Origin</w:t>
            </w:r>
          </w:p>
        </w:tc>
        <w:tc>
          <w:tcPr>
            <w:tcW w:w="1549"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843"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08"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90"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r>
      <w:tr w:rsidR="00217A76" w:rsidTr="00DB2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DB20D7" w:rsidRDefault="00DB20D7" w:rsidP="00DB20D7">
            <w:pPr>
              <w:pStyle w:val="ListParagraph"/>
              <w:numPr>
                <w:ilvl w:val="0"/>
                <w:numId w:val="4"/>
              </w:numPr>
            </w:pPr>
            <w:r>
              <w:t>Commodity Harmonized Tariff Schedule number</w:t>
            </w:r>
          </w:p>
        </w:tc>
        <w:tc>
          <w:tcPr>
            <w:tcW w:w="1549"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c>
          <w:tcPr>
            <w:tcW w:w="1843" w:type="dxa"/>
          </w:tcPr>
          <w:p w:rsidR="001A57DD"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c>
          <w:tcPr>
            <w:tcW w:w="1108" w:type="dxa"/>
          </w:tcPr>
          <w:p w:rsidR="001A57DD"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c>
          <w:tcPr>
            <w:tcW w:w="1190" w:type="dxa"/>
          </w:tcPr>
          <w:p w:rsidR="001A57DD" w:rsidRDefault="001A57DD" w:rsidP="0061512C">
            <w:pPr>
              <w:cnfStyle w:val="000000010000" w:firstRow="0" w:lastRow="0" w:firstColumn="0" w:lastColumn="0" w:oddVBand="0" w:evenVBand="0" w:oddHBand="0" w:evenHBand="1" w:firstRowFirstColumn="0" w:firstRowLastColumn="0" w:lastRowFirstColumn="0" w:lastRowLastColumn="0"/>
            </w:pPr>
          </w:p>
        </w:tc>
      </w:tr>
      <w:tr w:rsidR="00DB20D7"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1A57DD" w:rsidRPr="00DB20D7" w:rsidRDefault="00DB20D7" w:rsidP="00DB20D7">
            <w:pPr>
              <w:pStyle w:val="ListParagraph"/>
              <w:numPr>
                <w:ilvl w:val="0"/>
                <w:numId w:val="4"/>
              </w:numPr>
            </w:pPr>
            <w:r>
              <w:t>Container Stuffing Location (name and address)</w:t>
            </w:r>
          </w:p>
        </w:tc>
        <w:tc>
          <w:tcPr>
            <w:tcW w:w="1549"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843" w:type="dxa"/>
          </w:tcPr>
          <w:p w:rsidR="001A57DD"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c>
          <w:tcPr>
            <w:tcW w:w="1108" w:type="dxa"/>
          </w:tcPr>
          <w:p w:rsidR="001A57DD" w:rsidRDefault="001A57DD" w:rsidP="0061512C">
            <w:pPr>
              <w:cnfStyle w:val="000000100000" w:firstRow="0" w:lastRow="0" w:firstColumn="0" w:lastColumn="0" w:oddVBand="0" w:evenVBand="0" w:oddHBand="1" w:evenHBand="0" w:firstRowFirstColumn="0" w:firstRowLastColumn="0" w:lastRowFirstColumn="0" w:lastRowLastColumn="0"/>
            </w:pPr>
          </w:p>
        </w:tc>
        <w:tc>
          <w:tcPr>
            <w:tcW w:w="1190" w:type="dxa"/>
          </w:tcPr>
          <w:p w:rsidR="001A57DD"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r>
      <w:tr w:rsidR="00217A76" w:rsidTr="00DB2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217A76" w:rsidRDefault="00217A76" w:rsidP="00DB20D7">
            <w:pPr>
              <w:pStyle w:val="ListParagraph"/>
              <w:numPr>
                <w:ilvl w:val="0"/>
                <w:numId w:val="4"/>
              </w:numPr>
            </w:pPr>
            <w:r>
              <w:t xml:space="preserve"> Consolidator(Stuffer) name and address</w:t>
            </w:r>
          </w:p>
        </w:tc>
        <w:tc>
          <w:tcPr>
            <w:tcW w:w="1549" w:type="dxa"/>
          </w:tcPr>
          <w:p w:rsidR="00217A76" w:rsidRDefault="00217A76" w:rsidP="0061512C">
            <w:pPr>
              <w:cnfStyle w:val="000000010000" w:firstRow="0" w:lastRow="0" w:firstColumn="0" w:lastColumn="0" w:oddVBand="0" w:evenVBand="0" w:oddHBand="0" w:evenHBand="1" w:firstRowFirstColumn="0" w:firstRowLastColumn="0" w:lastRowFirstColumn="0" w:lastRowLastColumn="0"/>
            </w:pPr>
          </w:p>
        </w:tc>
        <w:tc>
          <w:tcPr>
            <w:tcW w:w="1843" w:type="dxa"/>
          </w:tcPr>
          <w:p w:rsidR="00217A76"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c>
          <w:tcPr>
            <w:tcW w:w="1108" w:type="dxa"/>
          </w:tcPr>
          <w:p w:rsidR="00217A76" w:rsidRDefault="00217A76" w:rsidP="0061512C">
            <w:pPr>
              <w:cnfStyle w:val="000000010000" w:firstRow="0" w:lastRow="0" w:firstColumn="0" w:lastColumn="0" w:oddVBand="0" w:evenVBand="0" w:oddHBand="0" w:evenHBand="1" w:firstRowFirstColumn="0" w:firstRowLastColumn="0" w:lastRowFirstColumn="0" w:lastRowLastColumn="0"/>
            </w:pPr>
          </w:p>
        </w:tc>
        <w:tc>
          <w:tcPr>
            <w:tcW w:w="1190" w:type="dxa"/>
          </w:tcPr>
          <w:p w:rsidR="00217A76" w:rsidRDefault="00217A76" w:rsidP="00217A76">
            <w:pPr>
              <w:jc w:val="center"/>
              <w:cnfStyle w:val="000000010000" w:firstRow="0" w:lastRow="0" w:firstColumn="0" w:lastColumn="0" w:oddVBand="0" w:evenVBand="0" w:oddHBand="0" w:evenHBand="1" w:firstRowFirstColumn="0" w:firstRowLastColumn="0" w:lastRowFirstColumn="0" w:lastRowLastColumn="0"/>
            </w:pPr>
            <w:r>
              <w:t>X</w:t>
            </w:r>
          </w:p>
        </w:tc>
      </w:tr>
      <w:tr w:rsidR="00217A76" w:rsidTr="00DB2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217A76" w:rsidRPr="00217A76" w:rsidRDefault="00217A76" w:rsidP="00A827B4">
            <w:r>
              <w:t xml:space="preserve">Linking element –Bill of Lading number (Master Bill of Lading </w:t>
            </w:r>
            <w:r w:rsidR="00A827B4">
              <w:t>or</w:t>
            </w:r>
            <w:r>
              <w:t xml:space="preserve"> House Bill (if applicable) </w:t>
            </w:r>
            <w:r w:rsidRPr="00A827B4">
              <w:rPr>
                <w:u w:val="single"/>
              </w:rPr>
              <w:t xml:space="preserve">MUST </w:t>
            </w:r>
            <w:r>
              <w:t>be provided</w:t>
            </w:r>
          </w:p>
        </w:tc>
        <w:tc>
          <w:tcPr>
            <w:tcW w:w="1549" w:type="dxa"/>
          </w:tcPr>
          <w:p w:rsidR="00217A76" w:rsidRDefault="00217A76" w:rsidP="00217A76">
            <w:pPr>
              <w:cnfStyle w:val="000000100000" w:firstRow="0" w:lastRow="0" w:firstColumn="0" w:lastColumn="0" w:oddVBand="0" w:evenVBand="0" w:oddHBand="1" w:evenHBand="0" w:firstRowFirstColumn="0" w:firstRowLastColumn="0" w:lastRowFirstColumn="0" w:lastRowLastColumn="0"/>
            </w:pPr>
          </w:p>
        </w:tc>
        <w:tc>
          <w:tcPr>
            <w:tcW w:w="1843" w:type="dxa"/>
          </w:tcPr>
          <w:p w:rsidR="00217A76"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c>
          <w:tcPr>
            <w:tcW w:w="1108" w:type="dxa"/>
          </w:tcPr>
          <w:p w:rsidR="00217A76" w:rsidRDefault="00217A76" w:rsidP="00217A76">
            <w:pPr>
              <w:cnfStyle w:val="000000100000" w:firstRow="0" w:lastRow="0" w:firstColumn="0" w:lastColumn="0" w:oddVBand="0" w:evenVBand="0" w:oddHBand="1" w:evenHBand="0" w:firstRowFirstColumn="0" w:firstRowLastColumn="0" w:lastRowFirstColumn="0" w:lastRowLastColumn="0"/>
            </w:pPr>
          </w:p>
        </w:tc>
        <w:tc>
          <w:tcPr>
            <w:tcW w:w="1190" w:type="dxa"/>
          </w:tcPr>
          <w:p w:rsidR="00217A76" w:rsidRDefault="00217A76" w:rsidP="00217A76">
            <w:pPr>
              <w:jc w:val="center"/>
              <w:cnfStyle w:val="000000100000" w:firstRow="0" w:lastRow="0" w:firstColumn="0" w:lastColumn="0" w:oddVBand="0" w:evenVBand="0" w:oddHBand="1" w:evenHBand="0" w:firstRowFirstColumn="0" w:firstRowLastColumn="0" w:lastRowFirstColumn="0" w:lastRowLastColumn="0"/>
            </w:pPr>
            <w:r>
              <w:t>X</w:t>
            </w:r>
          </w:p>
        </w:tc>
      </w:tr>
    </w:tbl>
    <w:p w:rsidR="0090417A" w:rsidRDefault="0090417A" w:rsidP="001A57DD"/>
    <w:p w:rsidR="001A57DD" w:rsidRDefault="00C140D4" w:rsidP="001A57DD">
      <w:r>
        <w:t xml:space="preserve">The bill of lading used to file for ISF must match the AMS bill of lading and is always the lowest bill of lading in sequence.  If a </w:t>
      </w:r>
      <w:r w:rsidRPr="00C140D4">
        <w:rPr>
          <w:u w:val="single"/>
        </w:rPr>
        <w:t>house bill</w:t>
      </w:r>
      <w:r>
        <w:t xml:space="preserve"> is created, then </w:t>
      </w:r>
      <w:r w:rsidRPr="00C140D4">
        <w:rPr>
          <w:u w:val="single"/>
        </w:rPr>
        <w:t>it</w:t>
      </w:r>
      <w:r>
        <w:t xml:space="preserve"> is the lowest bill of lading in sequence.  If the shipment is moving directly with the carrier, then the master bill is the lowest bill of lading number.  The vendor should provide only </w:t>
      </w:r>
      <w:r w:rsidRPr="00C140D4">
        <w:rPr>
          <w:u w:val="single"/>
        </w:rPr>
        <w:t>one</w:t>
      </w:r>
      <w:r>
        <w:t xml:space="preserve"> of the bill of lading types &amp; numbers on ISF worksheets.  </w:t>
      </w:r>
    </w:p>
    <w:p w:rsidR="001A57DD" w:rsidRDefault="001A57DD" w:rsidP="001A57DD">
      <w:pPr>
        <w:pStyle w:val="PlainText"/>
        <w:jc w:val="both"/>
        <w:rPr>
          <w:rFonts w:asciiTheme="minorHAnsi" w:hAnsiTheme="minorHAnsi"/>
        </w:rPr>
      </w:pPr>
      <w:r>
        <w:rPr>
          <w:rFonts w:asciiTheme="minorHAnsi" w:hAnsiTheme="minorHAnsi"/>
        </w:rPr>
        <w:t xml:space="preserve">DUNS </w:t>
      </w:r>
      <w:r w:rsidRPr="002C19AD">
        <w:rPr>
          <w:rFonts w:asciiTheme="minorHAnsi" w:hAnsiTheme="minorHAnsi"/>
        </w:rPr>
        <w:t>Number</w:t>
      </w:r>
      <w:r>
        <w:rPr>
          <w:rFonts w:asciiTheme="minorHAnsi" w:hAnsiTheme="minorHAnsi"/>
        </w:rPr>
        <w:t xml:space="preserve"> – Please use the following numbers for each ship to location</w:t>
      </w:r>
    </w:p>
    <w:p w:rsidR="001A57DD" w:rsidRDefault="001A57DD" w:rsidP="001A57DD">
      <w:pPr>
        <w:pStyle w:val="PlainText"/>
        <w:numPr>
          <w:ilvl w:val="1"/>
          <w:numId w:val="1"/>
        </w:numPr>
        <w:jc w:val="both"/>
        <w:rPr>
          <w:rFonts w:asciiTheme="minorHAnsi" w:hAnsiTheme="minorHAnsi"/>
        </w:rPr>
      </w:pPr>
      <w:r>
        <w:rPr>
          <w:rFonts w:asciiTheme="minorHAnsi" w:hAnsiTheme="minorHAnsi"/>
        </w:rPr>
        <w:t>Granite City 36 29</w:t>
      </w:r>
      <w:r w:rsidR="00585028">
        <w:rPr>
          <w:rFonts w:asciiTheme="minorHAnsi" w:hAnsiTheme="minorHAnsi"/>
        </w:rPr>
        <w:t>33</w:t>
      </w:r>
      <w:r>
        <w:rPr>
          <w:rFonts w:asciiTheme="minorHAnsi" w:hAnsiTheme="minorHAnsi"/>
        </w:rPr>
        <w:t>976 GC</w:t>
      </w:r>
    </w:p>
    <w:p w:rsidR="001A57DD" w:rsidRDefault="001A57DD" w:rsidP="001A57DD">
      <w:pPr>
        <w:pStyle w:val="PlainText"/>
        <w:numPr>
          <w:ilvl w:val="1"/>
          <w:numId w:val="1"/>
        </w:numPr>
        <w:jc w:val="both"/>
        <w:rPr>
          <w:rFonts w:asciiTheme="minorHAnsi" w:hAnsiTheme="minorHAnsi"/>
        </w:rPr>
      </w:pPr>
      <w:r>
        <w:rPr>
          <w:rFonts w:asciiTheme="minorHAnsi" w:hAnsiTheme="minorHAnsi"/>
        </w:rPr>
        <w:lastRenderedPageBreak/>
        <w:t>Petersburg   36 2933976 PE</w:t>
      </w:r>
    </w:p>
    <w:p w:rsidR="001A57DD" w:rsidRDefault="001A57DD" w:rsidP="001A57DD">
      <w:pPr>
        <w:pStyle w:val="PlainText"/>
        <w:numPr>
          <w:ilvl w:val="1"/>
          <w:numId w:val="1"/>
        </w:numPr>
        <w:jc w:val="both"/>
        <w:rPr>
          <w:rFonts w:asciiTheme="minorHAnsi" w:hAnsiTheme="minorHAnsi"/>
        </w:rPr>
      </w:pPr>
      <w:r>
        <w:rPr>
          <w:rFonts w:asciiTheme="minorHAnsi" w:hAnsiTheme="minorHAnsi"/>
        </w:rPr>
        <w:t>Camp Hill</w:t>
      </w:r>
      <w:r>
        <w:rPr>
          <w:rFonts w:asciiTheme="minorHAnsi" w:hAnsiTheme="minorHAnsi"/>
        </w:rPr>
        <w:tab/>
        <w:t xml:space="preserve"> 36 2933976 CH</w:t>
      </w:r>
    </w:p>
    <w:p w:rsidR="001A57DD" w:rsidRDefault="001A57DD" w:rsidP="001A57DD">
      <w:pPr>
        <w:pStyle w:val="PlainText"/>
        <w:numPr>
          <w:ilvl w:val="1"/>
          <w:numId w:val="1"/>
        </w:numPr>
        <w:jc w:val="both"/>
        <w:rPr>
          <w:rFonts w:asciiTheme="minorHAnsi" w:hAnsiTheme="minorHAnsi"/>
        </w:rPr>
      </w:pPr>
      <w:r>
        <w:rPr>
          <w:rFonts w:asciiTheme="minorHAnsi" w:hAnsiTheme="minorHAnsi"/>
        </w:rPr>
        <w:t>Hammond    36 2933976 HA</w:t>
      </w:r>
    </w:p>
    <w:p w:rsidR="001A57DD" w:rsidRPr="002C19AD" w:rsidRDefault="001A57DD" w:rsidP="001A57DD">
      <w:pPr>
        <w:pStyle w:val="PlainText"/>
        <w:numPr>
          <w:ilvl w:val="1"/>
          <w:numId w:val="1"/>
        </w:numPr>
        <w:jc w:val="both"/>
        <w:rPr>
          <w:rFonts w:asciiTheme="minorHAnsi" w:hAnsiTheme="minorHAnsi"/>
        </w:rPr>
      </w:pPr>
      <w:r>
        <w:rPr>
          <w:rFonts w:asciiTheme="minorHAnsi" w:hAnsiTheme="minorHAnsi"/>
        </w:rPr>
        <w:t>Mattituck     36 2933976 AP</w:t>
      </w:r>
    </w:p>
    <w:p w:rsidR="001A57DD" w:rsidRDefault="001A57DD" w:rsidP="001A57DD">
      <w:pPr>
        <w:pStyle w:val="PlainText"/>
        <w:jc w:val="both"/>
        <w:rPr>
          <w:rFonts w:asciiTheme="minorHAnsi" w:hAnsiTheme="minorHAnsi"/>
        </w:rPr>
      </w:pPr>
    </w:p>
    <w:p w:rsidR="001A57DD" w:rsidRDefault="001A57DD" w:rsidP="001A57DD">
      <w:pPr>
        <w:pStyle w:val="PlainText"/>
        <w:jc w:val="both"/>
        <w:rPr>
          <w:rFonts w:asciiTheme="minorHAnsi" w:hAnsiTheme="minorHAnsi"/>
        </w:rPr>
      </w:pPr>
      <w:r>
        <w:rPr>
          <w:rFonts w:asciiTheme="minorHAnsi" w:hAnsiTheme="minorHAnsi"/>
        </w:rPr>
        <w:t xml:space="preserve">Please confirm </w:t>
      </w:r>
      <w:r w:rsidR="00C140D4">
        <w:rPr>
          <w:rFonts w:asciiTheme="minorHAnsi" w:hAnsiTheme="minorHAnsi"/>
        </w:rPr>
        <w:t xml:space="preserve">the tariff number </w:t>
      </w:r>
      <w:r>
        <w:rPr>
          <w:rFonts w:asciiTheme="minorHAnsi" w:hAnsiTheme="minorHAnsi"/>
        </w:rPr>
        <w:t>with Amsted Trade Compliance</w:t>
      </w:r>
      <w:r w:rsidR="00C140D4">
        <w:rPr>
          <w:rFonts w:asciiTheme="minorHAnsi" w:hAnsiTheme="minorHAnsi"/>
        </w:rPr>
        <w:t>.</w:t>
      </w:r>
      <w:r>
        <w:rPr>
          <w:rFonts w:asciiTheme="minorHAnsi" w:hAnsiTheme="minorHAnsi"/>
        </w:rPr>
        <w:t xml:space="preserve"> Because ISF is a US Customs filing, tariff classification is based on </w:t>
      </w:r>
      <w:r w:rsidRPr="00D02517">
        <w:rPr>
          <w:rFonts w:asciiTheme="minorHAnsi" w:hAnsiTheme="minorHAnsi"/>
          <w:u w:val="single"/>
        </w:rPr>
        <w:t>US</w:t>
      </w:r>
      <w:r>
        <w:rPr>
          <w:rFonts w:asciiTheme="minorHAnsi" w:hAnsiTheme="minorHAnsi"/>
        </w:rPr>
        <w:t xml:space="preserve"> Customs guidance.    </w:t>
      </w:r>
    </w:p>
    <w:p w:rsidR="001D236B" w:rsidRDefault="001D236B" w:rsidP="001A57DD">
      <w:pPr>
        <w:pStyle w:val="PlainText"/>
        <w:jc w:val="both"/>
        <w:rPr>
          <w:rFonts w:asciiTheme="minorHAnsi" w:hAnsiTheme="minorHAnsi"/>
        </w:rPr>
      </w:pPr>
    </w:p>
    <w:p w:rsidR="001D236B" w:rsidRDefault="001D236B" w:rsidP="001A57DD">
      <w:pPr>
        <w:pStyle w:val="PlainText"/>
        <w:jc w:val="both"/>
        <w:rPr>
          <w:rFonts w:asciiTheme="minorHAnsi" w:hAnsiTheme="minorHAnsi"/>
        </w:rPr>
      </w:pPr>
      <w:r>
        <w:rPr>
          <w:rFonts w:asciiTheme="minorHAnsi" w:hAnsiTheme="minorHAnsi"/>
        </w:rPr>
        <w:t xml:space="preserve">If multiple parts or commodities are included on one commercial invoice, supplier must provide complete information for each part, including manufacturer name and country of origin. </w:t>
      </w:r>
    </w:p>
    <w:p w:rsidR="00A827B4" w:rsidRDefault="00A827B4" w:rsidP="001A57DD">
      <w:pPr>
        <w:pStyle w:val="PlainText"/>
        <w:jc w:val="both"/>
        <w:rPr>
          <w:rFonts w:asciiTheme="minorHAnsi" w:hAnsiTheme="minorHAnsi"/>
        </w:rPr>
      </w:pPr>
    </w:p>
    <w:p w:rsidR="00F44A8A" w:rsidRDefault="00A827B4" w:rsidP="001A57DD">
      <w:pPr>
        <w:pStyle w:val="PlainText"/>
        <w:jc w:val="both"/>
        <w:rPr>
          <w:rFonts w:asciiTheme="minorHAnsi" w:hAnsiTheme="minorHAnsi"/>
        </w:rPr>
      </w:pPr>
      <w:r>
        <w:rPr>
          <w:rFonts w:asciiTheme="minorHAnsi" w:hAnsiTheme="minorHAnsi"/>
        </w:rPr>
        <w:t xml:space="preserve">Buyer Routed Shipments: Seller shall use the approved Buyer contracted forwarders unless otherwise directed in writing by Buyer’s authorized Procurement Representative.  Buyer </w:t>
      </w:r>
      <w:r w:rsidR="00F44A8A">
        <w:rPr>
          <w:rFonts w:asciiTheme="minorHAnsi" w:hAnsiTheme="minorHAnsi"/>
        </w:rPr>
        <w:t>contracted f</w:t>
      </w:r>
      <w:r>
        <w:rPr>
          <w:rFonts w:asciiTheme="minorHAnsi" w:hAnsiTheme="minorHAnsi"/>
        </w:rPr>
        <w:t xml:space="preserve">orwarder will provide pre-alert documentation </w:t>
      </w:r>
      <w:r w:rsidR="00354A09">
        <w:rPr>
          <w:rFonts w:asciiTheme="minorHAnsi" w:hAnsiTheme="minorHAnsi"/>
        </w:rPr>
        <w:t xml:space="preserve">to Amsted’s ISF Filer </w:t>
      </w:r>
      <w:proofErr w:type="spellStart"/>
      <w:r w:rsidR="00354A09">
        <w:rPr>
          <w:rFonts w:asciiTheme="minorHAnsi" w:hAnsiTheme="minorHAnsi"/>
        </w:rPr>
        <w:t>Kuehne</w:t>
      </w:r>
      <w:proofErr w:type="spellEnd"/>
      <w:r w:rsidR="00354A09">
        <w:rPr>
          <w:rFonts w:asciiTheme="minorHAnsi" w:hAnsiTheme="minorHAnsi"/>
        </w:rPr>
        <w:t xml:space="preserve">-Nagel.  </w:t>
      </w:r>
      <w:r w:rsidR="00F44A8A">
        <w:rPr>
          <w:rFonts w:asciiTheme="minorHAnsi" w:hAnsiTheme="minorHAnsi"/>
        </w:rPr>
        <w:t>Pre alert documentation as follows:  1. Commercial invoice 2.  Completed ISF Data Sheet, as provided by</w:t>
      </w:r>
      <w:r w:rsidR="009F04E8">
        <w:rPr>
          <w:rFonts w:asciiTheme="minorHAnsi" w:hAnsiTheme="minorHAnsi"/>
        </w:rPr>
        <w:t xml:space="preserve"> </w:t>
      </w:r>
      <w:proofErr w:type="spellStart"/>
      <w:r w:rsidR="009F04E8">
        <w:rPr>
          <w:rFonts w:asciiTheme="minorHAnsi" w:hAnsiTheme="minorHAnsi"/>
        </w:rPr>
        <w:t>Kuehne</w:t>
      </w:r>
      <w:proofErr w:type="spellEnd"/>
      <w:r w:rsidR="009F04E8">
        <w:rPr>
          <w:rFonts w:asciiTheme="minorHAnsi" w:hAnsiTheme="minorHAnsi"/>
        </w:rPr>
        <w:t>-Nagel</w:t>
      </w:r>
    </w:p>
    <w:p w:rsidR="00F44A8A" w:rsidRDefault="00F44A8A" w:rsidP="001A57DD">
      <w:pPr>
        <w:pStyle w:val="PlainText"/>
        <w:jc w:val="both"/>
        <w:rPr>
          <w:rFonts w:asciiTheme="minorHAnsi" w:hAnsiTheme="minorHAnsi"/>
        </w:rPr>
      </w:pPr>
    </w:p>
    <w:p w:rsidR="00F44A8A" w:rsidRDefault="00F44A8A" w:rsidP="001A57DD">
      <w:pPr>
        <w:pStyle w:val="PlainText"/>
        <w:jc w:val="both"/>
        <w:rPr>
          <w:rFonts w:asciiTheme="minorHAnsi" w:hAnsiTheme="minorHAnsi"/>
        </w:rPr>
      </w:pPr>
      <w:r>
        <w:rPr>
          <w:rFonts w:asciiTheme="minorHAnsi" w:hAnsiTheme="minorHAnsi"/>
        </w:rPr>
        <w:t xml:space="preserve">Non-Buyer Routed shipments:  If contract terms and conditions do not require the use of an approved Buyer contracted forwarder, Seller shall instruct the forwarder/booking agent to provide </w:t>
      </w:r>
      <w:r w:rsidR="007124FF">
        <w:rPr>
          <w:rFonts w:asciiTheme="minorHAnsi" w:hAnsiTheme="minorHAnsi"/>
        </w:rPr>
        <w:t>to Buyer the following:</w:t>
      </w:r>
    </w:p>
    <w:p w:rsidR="007124FF" w:rsidRDefault="007124FF" w:rsidP="007124FF">
      <w:pPr>
        <w:pStyle w:val="PlainText"/>
        <w:numPr>
          <w:ilvl w:val="0"/>
          <w:numId w:val="7"/>
        </w:numPr>
        <w:jc w:val="both"/>
        <w:rPr>
          <w:rFonts w:asciiTheme="minorHAnsi" w:hAnsiTheme="minorHAnsi"/>
        </w:rPr>
      </w:pPr>
      <w:r>
        <w:rPr>
          <w:rFonts w:asciiTheme="minorHAnsi" w:hAnsiTheme="minorHAnsi"/>
        </w:rPr>
        <w:t xml:space="preserve">Container Stuffing Location name and address and consolidator (stuffer) name and address 2.  Bill of lading number (master </w:t>
      </w:r>
      <w:proofErr w:type="gramStart"/>
      <w:r>
        <w:rPr>
          <w:rFonts w:asciiTheme="minorHAnsi" w:hAnsiTheme="minorHAnsi"/>
        </w:rPr>
        <w:t>bill  of</w:t>
      </w:r>
      <w:proofErr w:type="gramEnd"/>
      <w:r>
        <w:rPr>
          <w:rFonts w:asciiTheme="minorHAnsi" w:hAnsiTheme="minorHAnsi"/>
        </w:rPr>
        <w:t xml:space="preserve"> lading and Automated Manifest System (AMS) house bill of lading number if applicable. 3.  Anticipated Loading date.  </w:t>
      </w:r>
    </w:p>
    <w:p w:rsidR="007124FF" w:rsidRDefault="007124FF" w:rsidP="007124FF">
      <w:pPr>
        <w:pStyle w:val="PlainText"/>
        <w:ind w:left="360"/>
        <w:jc w:val="both"/>
        <w:rPr>
          <w:rFonts w:asciiTheme="minorHAnsi" w:hAnsiTheme="minorHAnsi"/>
        </w:rPr>
      </w:pPr>
      <w:r>
        <w:rPr>
          <w:rFonts w:asciiTheme="minorHAnsi" w:hAnsiTheme="minorHAnsi"/>
        </w:rPr>
        <w:t xml:space="preserve">Seller shall complete the ISF Filing form provided by </w:t>
      </w:r>
      <w:proofErr w:type="spellStart"/>
      <w:r w:rsidR="009F04E8">
        <w:rPr>
          <w:rFonts w:asciiTheme="minorHAnsi" w:hAnsiTheme="minorHAnsi"/>
        </w:rPr>
        <w:t>Kuehne</w:t>
      </w:r>
      <w:proofErr w:type="spellEnd"/>
      <w:r w:rsidR="009F04E8">
        <w:rPr>
          <w:rFonts w:asciiTheme="minorHAnsi" w:hAnsiTheme="minorHAnsi"/>
        </w:rPr>
        <w:t xml:space="preserve">-Nagel </w:t>
      </w:r>
      <w:r>
        <w:rPr>
          <w:rFonts w:asciiTheme="minorHAnsi" w:hAnsiTheme="minorHAnsi"/>
        </w:rPr>
        <w:t>using information listed</w:t>
      </w:r>
      <w:r w:rsidR="009F04E8">
        <w:rPr>
          <w:rFonts w:asciiTheme="minorHAnsi" w:hAnsiTheme="minorHAnsi"/>
        </w:rPr>
        <w:t xml:space="preserve"> </w:t>
      </w:r>
      <w:r>
        <w:rPr>
          <w:rFonts w:asciiTheme="minorHAnsi" w:hAnsiTheme="minorHAnsi"/>
        </w:rPr>
        <w:t>above, along with all other information req</w:t>
      </w:r>
      <w:r w:rsidR="009F04E8">
        <w:rPr>
          <w:rFonts w:asciiTheme="minorHAnsi" w:hAnsiTheme="minorHAnsi"/>
        </w:rPr>
        <w:t xml:space="preserve">uired by ISF form and return to </w:t>
      </w:r>
      <w:hyperlink r:id="rId12" w:history="1">
        <w:r w:rsidR="009F04E8" w:rsidRPr="00536B7C">
          <w:rPr>
            <w:rStyle w:val="Hyperlink"/>
            <w:rFonts w:asciiTheme="minorHAnsi" w:hAnsiTheme="minorHAnsi"/>
          </w:rPr>
          <w:t>ISF@kuehne-nagel.com</w:t>
        </w:r>
      </w:hyperlink>
    </w:p>
    <w:p w:rsidR="00A24336" w:rsidRDefault="00A24336" w:rsidP="007124FF">
      <w:pPr>
        <w:pStyle w:val="PlainText"/>
        <w:ind w:left="360"/>
        <w:jc w:val="both"/>
        <w:rPr>
          <w:rFonts w:asciiTheme="minorHAnsi" w:hAnsiTheme="minorHAnsi"/>
        </w:rPr>
      </w:pPr>
    </w:p>
    <w:p w:rsidR="00A24336" w:rsidRDefault="00A24336" w:rsidP="00A24336">
      <w:pPr>
        <w:pStyle w:val="PlainText"/>
        <w:jc w:val="both"/>
        <w:rPr>
          <w:rFonts w:asciiTheme="minorHAnsi" w:hAnsiTheme="minorHAnsi"/>
        </w:rPr>
      </w:pPr>
      <w:r w:rsidRPr="00A24336">
        <w:rPr>
          <w:rFonts w:asciiTheme="minorHAnsi" w:hAnsiTheme="minorHAnsi"/>
          <w:b/>
        </w:rPr>
        <w:t>Timing</w:t>
      </w:r>
    </w:p>
    <w:p w:rsidR="00A24336" w:rsidRDefault="00A24336" w:rsidP="00A24336">
      <w:pPr>
        <w:pStyle w:val="PlainText"/>
        <w:ind w:left="360"/>
        <w:jc w:val="both"/>
        <w:rPr>
          <w:rFonts w:asciiTheme="minorHAnsi" w:hAnsiTheme="minorHAnsi"/>
        </w:rPr>
      </w:pPr>
      <w:r>
        <w:rPr>
          <w:rFonts w:asciiTheme="minorHAnsi" w:hAnsiTheme="minorHAnsi"/>
        </w:rPr>
        <w:t xml:space="preserve">Seller shall provide complete and accurate commercial invoice and ISF filing data sheet to Amsted Rail’s ISF Filer </w:t>
      </w:r>
      <w:r w:rsidRPr="007124FF">
        <w:rPr>
          <w:rFonts w:asciiTheme="minorHAnsi" w:hAnsiTheme="minorHAnsi"/>
          <w:u w:val="single"/>
        </w:rPr>
        <w:t>NO later than 72 hours prior to vessel loading.</w:t>
      </w:r>
      <w:r>
        <w:rPr>
          <w:rFonts w:asciiTheme="minorHAnsi" w:hAnsiTheme="minorHAnsi"/>
        </w:rPr>
        <w:t xml:space="preserve"> </w:t>
      </w:r>
      <w:r w:rsidR="00354A09">
        <w:rPr>
          <w:rFonts w:asciiTheme="minorHAnsi" w:hAnsiTheme="minorHAnsi"/>
        </w:rPr>
        <w:t xml:space="preserve"> Return to </w:t>
      </w:r>
      <w:hyperlink r:id="rId13" w:history="1">
        <w:r w:rsidR="00354A09" w:rsidRPr="00536B7C">
          <w:rPr>
            <w:rStyle w:val="Hyperlink"/>
            <w:rFonts w:asciiTheme="minorHAnsi" w:hAnsiTheme="minorHAnsi"/>
          </w:rPr>
          <w:t>ISF@kuehne-nagel.com</w:t>
        </w:r>
      </w:hyperlink>
    </w:p>
    <w:p w:rsidR="00A24336" w:rsidRPr="00A24336" w:rsidRDefault="00A24336" w:rsidP="00A24336">
      <w:pPr>
        <w:pStyle w:val="PlainText"/>
        <w:jc w:val="both"/>
        <w:rPr>
          <w:rFonts w:asciiTheme="minorHAnsi" w:hAnsiTheme="minorHAnsi"/>
        </w:rPr>
      </w:pPr>
    </w:p>
    <w:p w:rsidR="001A57DD" w:rsidRDefault="001A57DD" w:rsidP="001A57DD">
      <w:pPr>
        <w:pStyle w:val="PlainText"/>
        <w:rPr>
          <w:rFonts w:asciiTheme="minorHAnsi" w:hAnsiTheme="minorHAnsi"/>
        </w:rPr>
      </w:pPr>
    </w:p>
    <w:p w:rsidR="001A57DD" w:rsidRDefault="001A57DD" w:rsidP="001A57DD">
      <w:pPr>
        <w:pStyle w:val="PlainText"/>
        <w:rPr>
          <w:rFonts w:asciiTheme="minorHAnsi" w:hAnsiTheme="minorHAnsi"/>
        </w:rPr>
      </w:pPr>
      <w:r w:rsidRPr="00C323C9">
        <w:rPr>
          <w:rFonts w:asciiTheme="minorHAnsi" w:hAnsiTheme="minorHAnsi"/>
        </w:rPr>
        <w:t xml:space="preserve">Should Amsted Rail receive a fine from US Customs for failure to file ISF, this fine will </w:t>
      </w:r>
      <w:r>
        <w:rPr>
          <w:rFonts w:asciiTheme="minorHAnsi" w:hAnsiTheme="minorHAnsi"/>
        </w:rPr>
        <w:t>b</w:t>
      </w:r>
      <w:r w:rsidRPr="00C323C9">
        <w:rPr>
          <w:rFonts w:asciiTheme="minorHAnsi" w:hAnsiTheme="minorHAnsi"/>
        </w:rPr>
        <w:t xml:space="preserve">e passed along to the supplier.   </w:t>
      </w:r>
      <w:r>
        <w:rPr>
          <w:rFonts w:asciiTheme="minorHAnsi" w:hAnsiTheme="minorHAnsi"/>
        </w:rPr>
        <w:t xml:space="preserve"> </w:t>
      </w:r>
    </w:p>
    <w:p w:rsidR="001A57DD" w:rsidRDefault="001A57DD" w:rsidP="001A57DD"/>
    <w:p w:rsidR="007D108C" w:rsidRPr="00244E16" w:rsidRDefault="007D108C" w:rsidP="001A57DD">
      <w:r>
        <w:t>For more information or if you have questions, please contact the Trade Compliance Department.</w:t>
      </w:r>
    </w:p>
    <w:sectPr w:rsidR="007D108C" w:rsidRPr="00244E1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16" w:rsidRDefault="006D6C16" w:rsidP="006D6C16">
      <w:pPr>
        <w:spacing w:after="0" w:line="240" w:lineRule="auto"/>
      </w:pPr>
      <w:r>
        <w:separator/>
      </w:r>
    </w:p>
  </w:endnote>
  <w:endnote w:type="continuationSeparator" w:id="0">
    <w:p w:rsidR="006D6C16" w:rsidRDefault="006D6C16" w:rsidP="006D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16" w:rsidRDefault="006D6C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Revision 0 5/27/2014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F5441" w:rsidRPr="007F544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D6C16" w:rsidRDefault="006D6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16" w:rsidRDefault="006D6C16" w:rsidP="006D6C16">
      <w:pPr>
        <w:spacing w:after="0" w:line="240" w:lineRule="auto"/>
      </w:pPr>
      <w:r>
        <w:separator/>
      </w:r>
    </w:p>
  </w:footnote>
  <w:footnote w:type="continuationSeparator" w:id="0">
    <w:p w:rsidR="006D6C16" w:rsidRDefault="006D6C16" w:rsidP="006D6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524"/>
    <w:multiLevelType w:val="hybridMultilevel"/>
    <w:tmpl w:val="3B906B68"/>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390B83"/>
    <w:multiLevelType w:val="hybridMultilevel"/>
    <w:tmpl w:val="4D682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31491"/>
    <w:multiLevelType w:val="hybridMultilevel"/>
    <w:tmpl w:val="997E2454"/>
    <w:lvl w:ilvl="0" w:tplc="26887E30">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B91FCD"/>
    <w:multiLevelType w:val="hybridMultilevel"/>
    <w:tmpl w:val="1C020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67F7F"/>
    <w:multiLevelType w:val="hybridMultilevel"/>
    <w:tmpl w:val="53F093F2"/>
    <w:lvl w:ilvl="0" w:tplc="30B61ED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A0B65"/>
    <w:multiLevelType w:val="hybridMultilevel"/>
    <w:tmpl w:val="C396F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740059"/>
    <w:multiLevelType w:val="hybridMultilevel"/>
    <w:tmpl w:val="EE222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B8"/>
    <w:rsid w:val="00131E27"/>
    <w:rsid w:val="001503CE"/>
    <w:rsid w:val="001A1BBE"/>
    <w:rsid w:val="001A57DD"/>
    <w:rsid w:val="001D236B"/>
    <w:rsid w:val="00217A76"/>
    <w:rsid w:val="00244E16"/>
    <w:rsid w:val="00354A09"/>
    <w:rsid w:val="00474DCF"/>
    <w:rsid w:val="004E5672"/>
    <w:rsid w:val="00585028"/>
    <w:rsid w:val="006D56B8"/>
    <w:rsid w:val="006D6C16"/>
    <w:rsid w:val="007124FF"/>
    <w:rsid w:val="007D108C"/>
    <w:rsid w:val="007F5441"/>
    <w:rsid w:val="00821D6C"/>
    <w:rsid w:val="0090417A"/>
    <w:rsid w:val="009A5EE2"/>
    <w:rsid w:val="009C145E"/>
    <w:rsid w:val="009F04E8"/>
    <w:rsid w:val="009F3B72"/>
    <w:rsid w:val="00A24336"/>
    <w:rsid w:val="00A827B4"/>
    <w:rsid w:val="00C140D4"/>
    <w:rsid w:val="00D3310D"/>
    <w:rsid w:val="00DB20D7"/>
    <w:rsid w:val="00F3209A"/>
    <w:rsid w:val="00F44A8A"/>
    <w:rsid w:val="00F9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6B8"/>
    <w:rPr>
      <w:rFonts w:ascii="Tahoma" w:hAnsi="Tahoma" w:cs="Tahoma"/>
      <w:sz w:val="16"/>
      <w:szCs w:val="16"/>
    </w:rPr>
  </w:style>
  <w:style w:type="paragraph" w:styleId="NormalWeb">
    <w:name w:val="Normal (Web)"/>
    <w:basedOn w:val="Normal"/>
    <w:uiPriority w:val="99"/>
    <w:semiHidden/>
    <w:unhideWhenUsed/>
    <w:rsid w:val="0090417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90417A"/>
    <w:pPr>
      <w:spacing w:after="0" w:line="240" w:lineRule="auto"/>
    </w:pPr>
    <w:rPr>
      <w:rFonts w:ascii="Calibri" w:eastAsia="SimSun" w:hAnsi="Calibri" w:cs="SimSun"/>
      <w:lang w:eastAsia="zh-CN"/>
    </w:rPr>
  </w:style>
  <w:style w:type="character" w:customStyle="1" w:styleId="PlainTextChar">
    <w:name w:val="Plain Text Char"/>
    <w:basedOn w:val="DefaultParagraphFont"/>
    <w:link w:val="PlainText"/>
    <w:uiPriority w:val="99"/>
    <w:rsid w:val="0090417A"/>
    <w:rPr>
      <w:rFonts w:ascii="Calibri" w:eastAsia="SimSun" w:hAnsi="Calibri" w:cs="SimSun"/>
      <w:lang w:eastAsia="zh-CN"/>
    </w:rPr>
  </w:style>
  <w:style w:type="character" w:styleId="Hyperlink">
    <w:name w:val="Hyperlink"/>
    <w:basedOn w:val="DefaultParagraphFont"/>
    <w:uiPriority w:val="99"/>
    <w:unhideWhenUsed/>
    <w:rsid w:val="001503CE"/>
    <w:rPr>
      <w:color w:val="0000FF" w:themeColor="hyperlink"/>
      <w:u w:val="single"/>
    </w:rPr>
  </w:style>
  <w:style w:type="table" w:styleId="TableGrid">
    <w:name w:val="Table Grid"/>
    <w:basedOn w:val="TableNormal"/>
    <w:uiPriority w:val="59"/>
    <w:rsid w:val="0082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7DD"/>
    <w:pPr>
      <w:ind w:left="720"/>
      <w:contextualSpacing/>
    </w:pPr>
  </w:style>
  <w:style w:type="table" w:styleId="MediumGrid1">
    <w:name w:val="Medium Grid 1"/>
    <w:basedOn w:val="TableNormal"/>
    <w:uiPriority w:val="67"/>
    <w:rsid w:val="001A57D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B20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6D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16"/>
  </w:style>
  <w:style w:type="paragraph" w:styleId="Footer">
    <w:name w:val="footer"/>
    <w:basedOn w:val="Normal"/>
    <w:link w:val="FooterChar"/>
    <w:uiPriority w:val="99"/>
    <w:unhideWhenUsed/>
    <w:rsid w:val="006D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6B8"/>
    <w:rPr>
      <w:rFonts w:ascii="Tahoma" w:hAnsi="Tahoma" w:cs="Tahoma"/>
      <w:sz w:val="16"/>
      <w:szCs w:val="16"/>
    </w:rPr>
  </w:style>
  <w:style w:type="paragraph" w:styleId="NormalWeb">
    <w:name w:val="Normal (Web)"/>
    <w:basedOn w:val="Normal"/>
    <w:uiPriority w:val="99"/>
    <w:semiHidden/>
    <w:unhideWhenUsed/>
    <w:rsid w:val="0090417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90417A"/>
    <w:pPr>
      <w:spacing w:after="0" w:line="240" w:lineRule="auto"/>
    </w:pPr>
    <w:rPr>
      <w:rFonts w:ascii="Calibri" w:eastAsia="SimSun" w:hAnsi="Calibri" w:cs="SimSun"/>
      <w:lang w:eastAsia="zh-CN"/>
    </w:rPr>
  </w:style>
  <w:style w:type="character" w:customStyle="1" w:styleId="PlainTextChar">
    <w:name w:val="Plain Text Char"/>
    <w:basedOn w:val="DefaultParagraphFont"/>
    <w:link w:val="PlainText"/>
    <w:uiPriority w:val="99"/>
    <w:rsid w:val="0090417A"/>
    <w:rPr>
      <w:rFonts w:ascii="Calibri" w:eastAsia="SimSun" w:hAnsi="Calibri" w:cs="SimSun"/>
      <w:lang w:eastAsia="zh-CN"/>
    </w:rPr>
  </w:style>
  <w:style w:type="character" w:styleId="Hyperlink">
    <w:name w:val="Hyperlink"/>
    <w:basedOn w:val="DefaultParagraphFont"/>
    <w:uiPriority w:val="99"/>
    <w:unhideWhenUsed/>
    <w:rsid w:val="001503CE"/>
    <w:rPr>
      <w:color w:val="0000FF" w:themeColor="hyperlink"/>
      <w:u w:val="single"/>
    </w:rPr>
  </w:style>
  <w:style w:type="table" w:styleId="TableGrid">
    <w:name w:val="Table Grid"/>
    <w:basedOn w:val="TableNormal"/>
    <w:uiPriority w:val="59"/>
    <w:rsid w:val="0082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7DD"/>
    <w:pPr>
      <w:ind w:left="720"/>
      <w:contextualSpacing/>
    </w:pPr>
  </w:style>
  <w:style w:type="table" w:styleId="MediumGrid1">
    <w:name w:val="Medium Grid 1"/>
    <w:basedOn w:val="TableNormal"/>
    <w:uiPriority w:val="67"/>
    <w:rsid w:val="001A57D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B20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6D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16"/>
  </w:style>
  <w:style w:type="paragraph" w:styleId="Footer">
    <w:name w:val="footer"/>
    <w:basedOn w:val="Normal"/>
    <w:link w:val="FooterChar"/>
    <w:uiPriority w:val="99"/>
    <w:unhideWhenUsed/>
    <w:rsid w:val="006D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252">
      <w:bodyDiv w:val="1"/>
      <w:marLeft w:val="0"/>
      <w:marRight w:val="0"/>
      <w:marTop w:val="0"/>
      <w:marBottom w:val="0"/>
      <w:divBdr>
        <w:top w:val="none" w:sz="0" w:space="0" w:color="auto"/>
        <w:left w:val="none" w:sz="0" w:space="0" w:color="auto"/>
        <w:bottom w:val="none" w:sz="0" w:space="0" w:color="auto"/>
        <w:right w:val="none" w:sz="0" w:space="0" w:color="auto"/>
      </w:divBdr>
    </w:div>
    <w:div w:id="198784085">
      <w:bodyDiv w:val="1"/>
      <w:marLeft w:val="0"/>
      <w:marRight w:val="0"/>
      <w:marTop w:val="0"/>
      <w:marBottom w:val="0"/>
      <w:divBdr>
        <w:top w:val="none" w:sz="0" w:space="0" w:color="auto"/>
        <w:left w:val="none" w:sz="0" w:space="0" w:color="auto"/>
        <w:bottom w:val="none" w:sz="0" w:space="0" w:color="auto"/>
        <w:right w:val="none" w:sz="0" w:space="0" w:color="auto"/>
      </w:divBdr>
    </w:div>
    <w:div w:id="320013214">
      <w:bodyDiv w:val="1"/>
      <w:marLeft w:val="0"/>
      <w:marRight w:val="0"/>
      <w:marTop w:val="0"/>
      <w:marBottom w:val="0"/>
      <w:divBdr>
        <w:top w:val="none" w:sz="0" w:space="0" w:color="auto"/>
        <w:left w:val="none" w:sz="0" w:space="0" w:color="auto"/>
        <w:bottom w:val="none" w:sz="0" w:space="0" w:color="auto"/>
        <w:right w:val="none" w:sz="0" w:space="0" w:color="auto"/>
      </w:divBdr>
    </w:div>
    <w:div w:id="385035485">
      <w:bodyDiv w:val="1"/>
      <w:marLeft w:val="0"/>
      <w:marRight w:val="0"/>
      <w:marTop w:val="0"/>
      <w:marBottom w:val="0"/>
      <w:divBdr>
        <w:top w:val="none" w:sz="0" w:space="0" w:color="auto"/>
        <w:left w:val="none" w:sz="0" w:space="0" w:color="auto"/>
        <w:bottom w:val="none" w:sz="0" w:space="0" w:color="auto"/>
        <w:right w:val="none" w:sz="0" w:space="0" w:color="auto"/>
      </w:divBdr>
    </w:div>
    <w:div w:id="831600975">
      <w:bodyDiv w:val="1"/>
      <w:marLeft w:val="0"/>
      <w:marRight w:val="0"/>
      <w:marTop w:val="0"/>
      <w:marBottom w:val="0"/>
      <w:divBdr>
        <w:top w:val="none" w:sz="0" w:space="0" w:color="auto"/>
        <w:left w:val="none" w:sz="0" w:space="0" w:color="auto"/>
        <w:bottom w:val="none" w:sz="0" w:space="0" w:color="auto"/>
        <w:right w:val="none" w:sz="0" w:space="0" w:color="auto"/>
      </w:divBdr>
    </w:div>
    <w:div w:id="15974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F@kuehne-nage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F@kuehne-nag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F@kuehne-nag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2.jpg@01CC03EE.C7E958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E17E-96E8-41FE-B3C9-2F190B6B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AmstedRail</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Gadeken, Sara</dc:creator>
  <cp:lastModifiedBy>Brandel, Christiana</cp:lastModifiedBy>
  <cp:revision>2</cp:revision>
  <dcterms:created xsi:type="dcterms:W3CDTF">2015-06-15T21:34:00Z</dcterms:created>
  <dcterms:modified xsi:type="dcterms:W3CDTF">2015-06-15T21:34:00Z</dcterms:modified>
</cp:coreProperties>
</file>